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Patch and Vulnerability Management Policy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848"/>
        <w:gridCol w:w="6072"/>
      </w:tblGrid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t xml:space="preserve">Patch and Vulnerability Management Policy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Doc#</w:t>
            </w:r>
          </w:p>
        </w:tc>
        <w:tc>
          <w:tcPr/>
          <w:p>
            <w:pPr>
              <w:pStyle w:val="Compact"/>
            </w:pPr>
            <w:r>
              <w:t xml:space="preserve">POL-ITMA-031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24-03-2025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Supersedes</w:t>
            </w:r>
          </w:p>
        </w:tc>
        <w:tc>
          <w:tcPr/>
          <w:p>
            <w:pPr>
              <w:pStyle w:val="Compact"/>
            </w:pPr>
            <w:r>
              <w:t xml:space="preserve">No prior issued policy; formalises the informally-referenced</w:t>
            </w:r>
            <w:r>
              <w:t xml:space="preserve"> </w:t>
            </w:r>
            <w:r>
              <w:rPr>
                <w:rStyle w:val="VerbatimChar"/>
              </w:rPr>
              <w:t xml:space="preserve">vuln_mgmt</w:t>
            </w:r>
            <w:r>
              <w:t xml:space="preserve"> </w:t>
            </w:r>
            <w:r>
              <w:t xml:space="preserve">cited by the NIST control mapping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Next Review</w:t>
            </w:r>
          </w:p>
        </w:tc>
        <w:tc>
          <w:tcPr/>
          <w:p>
            <w:pPr>
              <w:pStyle w:val="Compact"/>
            </w:pPr>
            <w:r>
              <w:t xml:space="preserve">24-03-2026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Owner</w:t>
            </w:r>
          </w:p>
        </w:tc>
        <w:tc>
          <w:tcPr/>
          <w:p>
            <w:pPr>
              <w:pStyle w:val="Compact"/>
            </w:pPr>
            <w:r>
              <w:t xml:space="preserve">Head of IT (H. Boyd)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Approved By</w:t>
            </w:r>
          </w:p>
        </w:tc>
        <w:tc>
          <w:tcPr/>
          <w:p>
            <w:pPr>
              <w:pStyle w:val="Compact"/>
            </w:pPr>
            <w:r>
              <w:t xml:space="preserve">Chief Information Officer (A. Vasquez)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ISO/IEC 27001:2022</w:t>
            </w:r>
          </w:p>
        </w:tc>
        <w:tc>
          <w:tcPr/>
          <w:p>
            <w:pPr>
              <w:pStyle w:val="Compact"/>
            </w:pPr>
            <w:r>
              <w:t xml:space="preserve">A.8.8 Management of technical vulnerabilities</w:t>
            </w:r>
          </w:p>
        </w:tc>
      </w:tr>
    </w:tbl>
    <w:p>
      <w:pPr>
        <w:pStyle w:val="BlockText"/>
      </w:pPr>
      <w:r>
        <w:rPr>
          <w:i/>
          <w:iCs/>
        </w:rPr>
        <w:t xml:space="preserve">[Reviewer, 2025-03-19: this is the first formally issued version of this</w:t>
      </w:r>
      <w:r>
        <w:rPr>
          <w:i/>
          <w:iCs/>
        </w:rPr>
        <w:t xml:space="preserve"> </w:t>
      </w:r>
      <w:r>
        <w:rPr>
          <w:i/>
          <w:iCs/>
        </w:rPr>
        <w:t xml:space="preserve">policy. The NIST control mapping (</w:t>
      </w:r>
      <w:hyperlink r:id="rId9">
        <w:r>
          <w:rPr>
            <w:rStyle w:val="Hyperlink"/>
            <w:i/>
            <w:iCs/>
          </w:rPr>
          <w:t xml:space="preserve">support/nist_mapping.md</w:t>
        </w:r>
      </w:hyperlink>
      <w:r>
        <w:rPr>
          <w:i/>
          <w:iCs/>
        </w:rPr>
        <w:t xml:space="preserve">)</w:t>
      </w:r>
      <w:r>
        <w:rPr>
          <w:i/>
          <w:iCs/>
        </w:rPr>
        <w:t xml:space="preserve"> </w:t>
      </w:r>
      <w:r>
        <w:rPr>
          <w:i/>
          <w:iCs/>
        </w:rPr>
        <w:t xml:space="preserve">already links a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vuln_mgmt</w:t>
      </w:r>
      <w:r>
        <w:rPr>
          <w:i/>
          <w:iCs/>
        </w:rPr>
        <w:t xml:space="preserve"> </w:t>
      </w:r>
      <w:r>
        <w:rPr>
          <w:i/>
          <w:iCs/>
        </w:rPr>
        <w:t xml:space="preserve">document at reference [18] that was never actually</w:t>
      </w:r>
      <w:r>
        <w:rPr>
          <w:i/>
          <w:iCs/>
        </w:rPr>
        <w:t xml:space="preserve"> </w:t>
      </w:r>
      <w:r>
        <w:rPr>
          <w:i/>
          <w:iCs/>
        </w:rPr>
        <w:t xml:space="preserve">issued — this document closes that gap. Point any remaining references at this</w:t>
      </w:r>
      <w:r>
        <w:rPr>
          <w:i/>
          <w:iCs/>
        </w:rPr>
        <w:t xml:space="preserve"> </w:t>
      </w:r>
      <w:r>
        <w:rPr>
          <w:i/>
          <w:iCs/>
        </w:rPr>
        <w:t xml:space="preserve">number rather than re-creating the placeholder.]</w:t>
      </w:r>
    </w:p>
    <w:bookmarkStart w:id="10" w:name="purpose-and-scope"/>
    <w:p>
      <w:pPr>
        <w:pStyle w:val="Heading2"/>
      </w:pPr>
      <w:r>
        <w:t xml:space="preserve">1. Purpose and scope</w:t>
      </w:r>
    </w:p>
    <w:p>
      <w:pPr>
        <w:pStyle w:val="FirstParagraph"/>
      </w:pPr>
      <w:r>
        <w:t xml:space="preserve">This policy sets out how Tessera manages technical vulnerabilities across its</w:t>
      </w:r>
      <w:r>
        <w:t xml:space="preserve"> </w:t>
      </w:r>
      <w:r>
        <w:t xml:space="preserve">applications, operating systems, endpoints and cloud infrastructure, so that</w:t>
      </w:r>
      <w:r>
        <w:t xml:space="preserve"> </w:t>
      </w:r>
      <w:r>
        <w:t xml:space="preserve">known weaknesses are patched or mitigated before they can be exploited. It gives</w:t>
      </w:r>
      <w:r>
        <w:t xml:space="preserve"> </w:t>
      </w:r>
      <w:r>
        <w:t xml:space="preserve">effect to</w:t>
      </w:r>
      <w:r>
        <w:t xml:space="preserve"> </w:t>
      </w:r>
      <w:r>
        <w:rPr>
          <w:b/>
          <w:bCs/>
        </w:rPr>
        <w:t xml:space="preserve">APP 11</w:t>
      </w:r>
      <w:r>
        <w:t xml:space="preserve"> </w:t>
      </w:r>
      <w:r>
        <w:t xml:space="preserve">(security of personal information) of the</w:t>
      </w:r>
      <w:r>
        <w:t xml:space="preserve"> </w:t>
      </w:r>
      <w:r>
        <w:rPr>
          <w:i/>
          <w:iCs/>
        </w:rPr>
        <w:t xml:space="preserve">Privacy Act 1988</w:t>
      </w:r>
      <w:r>
        <w:t xml:space="preserve"> </w:t>
      </w:r>
      <w:r>
        <w:t xml:space="preserve">(Cth) and to Annex A control</w:t>
      </w:r>
      <w:r>
        <w:t xml:space="preserve"> </w:t>
      </w:r>
      <w:r>
        <w:rPr>
          <w:b/>
          <w:bCs/>
        </w:rPr>
        <w:t xml:space="preserve">A.8.8</w:t>
      </w:r>
      <w:r>
        <w:t xml:space="preserve"> </w:t>
      </w:r>
      <w:r>
        <w:t xml:space="preserve">(management of technical vulnerabilities)</w:t>
      </w:r>
      <w:r>
        <w:t xml:space="preserve"> </w:t>
      </w:r>
      <w:r>
        <w:t xml:space="preserve">of ISO/IEC 27001:2022. It also maps directly to the ACSC Essential Eight</w:t>
      </w:r>
      <w:r>
        <w:t xml:space="preserve"> </w:t>
      </w:r>
      <w:r>
        <w:t xml:space="preserve">mitigation strategies</w:t>
      </w:r>
      <w:r>
        <w:t xml:space="preserve"> </w:t>
      </w:r>
      <w:r>
        <w:rPr>
          <w:b/>
          <w:bCs/>
        </w:rPr>
        <w:t xml:space="preserve">“Patch applications”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“Patch operating systems”</w:t>
      </w:r>
      <w:r>
        <w:t xml:space="preserve">.</w:t>
      </w:r>
    </w:p>
    <w:p>
      <w:pPr>
        <w:pStyle w:val="BodyText"/>
      </w:pPr>
      <w:r>
        <w:t xml:space="preserve">The policy applies to all Tessera-managed assets in scope of the ISMS —</w:t>
      </w:r>
      <w:r>
        <w:t xml:space="preserve"> </w:t>
      </w:r>
      <w:r>
        <w:t xml:space="preserve">workforce endpoints, servers, network devices, container images and the AWS</w:t>
      </w:r>
      <w:r>
        <w:t xml:space="preserve"> </w:t>
      </w:r>
      <w:r>
        <w:t xml:space="preserve">workloads running the platform in</w:t>
      </w:r>
      <w:r>
        <w:t xml:space="preserve"> </w:t>
      </w:r>
      <w:r>
        <w:rPr>
          <w:rStyle w:val="VerbatimChar"/>
        </w:rPr>
        <w:t xml:space="preserve">ap-southeast-2</w:t>
      </w:r>
      <w:r>
        <w:t xml:space="preserve"> </w:t>
      </w:r>
      <w:r>
        <w:t xml:space="preserve">(Sydney) and the declared</w:t>
      </w:r>
      <w:r>
        <w:t xml:space="preserve"> </w:t>
      </w:r>
      <w:r>
        <w:t xml:space="preserve">standby in</w:t>
      </w:r>
      <w:r>
        <w:t xml:space="preserve"> </w:t>
      </w:r>
      <w:r>
        <w:rPr>
          <w:rStyle w:val="VerbatimChar"/>
        </w:rPr>
        <w:t xml:space="preserve">ap-southeast-1</w:t>
      </w:r>
      <w:r>
        <w:t xml:space="preserve"> </w:t>
      </w:r>
      <w:r>
        <w:t xml:space="preserve">(Singapore) — and to the legacy IT footprint at the</w:t>
      </w:r>
      <w:r>
        <w:t xml:space="preserve"> </w:t>
      </w:r>
      <w:r>
        <w:t xml:space="preserve">Malaga WA operations centre.</w:t>
      </w:r>
    </w:p>
    <w:p>
      <w:pPr>
        <w:pStyle w:val="BodyText"/>
      </w:pPr>
      <w:r>
        <w:t xml:space="preserve">Timely patching after the breach</w:t>
      </w:r>
      <w:r>
        <w:t xml:space="preserve"> </w:t>
      </w:r>
      <w:r>
        <w:rPr>
          <w:b/>
          <w:bCs/>
        </w:rPr>
        <w:t xml:space="preserve">TSR-INC-2025-031</w:t>
      </w:r>
      <w:r>
        <w:t xml:space="preserve"> </w:t>
      </w:r>
      <w:r>
        <w:t xml:space="preserve">is a board-level</w:t>
      </w:r>
      <w:r>
        <w:t xml:space="preserve"> </w:t>
      </w:r>
      <w:r>
        <w:t xml:space="preserve">expectation under Tessera’s ISO/IEC 27001:2022 certification-readiness mandate.</w:t>
      </w:r>
    </w:p>
    <w:bookmarkEnd w:id="10"/>
    <w:bookmarkStart w:id="11" w:name="policy-statements"/>
    <w:p>
      <w:pPr>
        <w:pStyle w:val="Heading2"/>
      </w:pPr>
      <w:r>
        <w:t xml:space="preserve">2. Policy statements</w:t>
      </w:r>
    </w:p>
    <w:p>
      <w:pPr>
        <w:pStyle w:val="FirstParagraph"/>
      </w:pPr>
      <w:r>
        <w:t xml:space="preserve">Tessera policy requires that:</w:t>
      </w:r>
    </w:p>
    <w:p>
      <w:pPr>
        <w:numPr>
          <w:ilvl w:val="0"/>
          <w:numId w:val="1001"/>
        </w:numPr>
      </w:pPr>
      <w:r>
        <w:t xml:space="preserve">all in-scope systems are kept at a supported and patched software and</w:t>
      </w:r>
      <w:r>
        <w:t xml:space="preserve"> </w:t>
      </w:r>
      <w:r>
        <w:t xml:space="preserve">operating-system level;</w:t>
      </w:r>
    </w:p>
    <w:p>
      <w:pPr>
        <w:numPr>
          <w:ilvl w:val="0"/>
          <w:numId w:val="1001"/>
        </w:numPr>
      </w:pPr>
      <w:r>
        <w:t xml:space="preserve">security patches for applications and operating systems are applied within</w:t>
      </w:r>
      <w:r>
        <w:t xml:space="preserve"> </w:t>
      </w:r>
      <w:r>
        <w:rPr>
          <w:b/>
          <w:bCs/>
        </w:rPr>
        <w:t xml:space="preserve">14 days</w:t>
      </w:r>
      <w:r>
        <w:t xml:space="preserve"> </w:t>
      </w:r>
      <w:r>
        <w:t xml:space="preserve">of a fix being released by the vendor;</w:t>
      </w:r>
    </w:p>
    <w:p>
      <w:pPr>
        <w:numPr>
          <w:ilvl w:val="0"/>
          <w:numId w:val="1001"/>
        </w:numPr>
      </w:pPr>
      <w:r>
        <w:t xml:space="preserve">where a working exploit is known to exist for a vulnerability affecting an</w:t>
      </w:r>
      <w:r>
        <w:t xml:space="preserve"> </w:t>
      </w:r>
      <w:r>
        <w:t xml:space="preserve">in-scope system, the patch or an effective mitigation is applied within</w:t>
      </w:r>
      <w:r>
        <w:t xml:space="preserve"> </w:t>
      </w:r>
      <w:r>
        <w:rPr>
          <w:b/>
          <w:bCs/>
        </w:rPr>
        <w:t xml:space="preserve">48 hours</w:t>
      </w:r>
      <w:r>
        <w:t xml:space="preserve">;</w:t>
      </w:r>
    </w:p>
    <w:p>
      <w:pPr>
        <w:numPr>
          <w:ilvl w:val="0"/>
          <w:numId w:val="1001"/>
        </w:numPr>
      </w:pPr>
      <w:r>
        <w:t xml:space="preserve">vulnerabilities are identified through regular authenticated scanning and</w:t>
      </w:r>
      <w:r>
        <w:t xml:space="preserve"> </w:t>
      </w:r>
      <w:r>
        <w:t xml:space="preserve">through vendor and threat-intelligence advisories;</w:t>
      </w:r>
    </w:p>
    <w:p>
      <w:pPr>
        <w:numPr>
          <w:ilvl w:val="0"/>
          <w:numId w:val="1001"/>
        </w:numPr>
      </w:pPr>
      <w:r>
        <w:t xml:space="preserve">unsupported or end-of-life software and operating systems are removed,</w:t>
      </w:r>
      <w:r>
        <w:t xml:space="preserve"> </w:t>
      </w:r>
      <w:r>
        <w:t xml:space="preserve">isolated or replaced, and are not permitted in production;</w:t>
      </w:r>
    </w:p>
    <w:p>
      <w:pPr>
        <w:numPr>
          <w:ilvl w:val="0"/>
          <w:numId w:val="1001"/>
        </w:numPr>
      </w:pPr>
      <w:r>
        <w:t xml:space="preserve">every asset in the inventory (POL-ITMA-009) has a defined patch owner and</w:t>
      </w:r>
      <w:r>
        <w:t xml:space="preserve"> </w:t>
      </w:r>
      <w:r>
        <w:t xml:space="preserve">patch source;</w:t>
      </w:r>
    </w:p>
    <w:p>
      <w:pPr>
        <w:numPr>
          <w:ilvl w:val="0"/>
          <w:numId w:val="1001"/>
        </w:numPr>
      </w:pPr>
      <w:r>
        <w:t xml:space="preserve">any deviation from the timeframes above is recorded as a formal exception</w:t>
      </w:r>
      <w:r>
        <w:t xml:space="preserve"> </w:t>
      </w:r>
      <w:r>
        <w:t xml:space="preserve">under §3.4 with a compensating control and an expiry date.</w:t>
      </w:r>
    </w:p>
    <w:bookmarkEnd w:id="11"/>
    <w:bookmarkStart w:id="17" w:name="controls-and-procedures"/>
    <w:p>
      <w:pPr>
        <w:pStyle w:val="Heading2"/>
      </w:pPr>
      <w:r>
        <w:t xml:space="preserve">3. Controls and procedures</w:t>
      </w:r>
    </w:p>
    <w:bookmarkStart w:id="12" w:name="patch-timeframes"/>
    <w:p>
      <w:pPr>
        <w:pStyle w:val="Heading3"/>
      </w:pPr>
      <w:r>
        <w:t xml:space="preserve">3.1 Patch timeframes</w:t>
      </w:r>
    </w:p>
    <w:p>
      <w:pPr>
        <w:pStyle w:val="Compact"/>
        <w:numPr>
          <w:ilvl w:val="0"/>
          <w:numId w:val="1002"/>
        </w:numPr>
      </w:pPr>
      <w:r>
        <w:t xml:space="preserve">Standard security patches for both applications and operating systems are</w:t>
      </w:r>
      <w:r>
        <w:t xml:space="preserve"> </w:t>
      </w:r>
      <w:r>
        <w:t xml:space="preserve">deployed within</w:t>
      </w:r>
      <w:r>
        <w:t xml:space="preserve"> </w:t>
      </w:r>
      <w:r>
        <w:rPr>
          <w:b/>
          <w:bCs/>
        </w:rPr>
        <w:t xml:space="preserve">14 days</w:t>
      </w:r>
      <w:r>
        <w:t xml:space="preserve"> </w:t>
      </w:r>
      <w:r>
        <w:t xml:space="preserve">of release.</w:t>
      </w:r>
    </w:p>
    <w:p>
      <w:pPr>
        <w:pStyle w:val="Compact"/>
        <w:numPr>
          <w:ilvl w:val="0"/>
          <w:numId w:val="1002"/>
        </w:numPr>
      </w:pPr>
      <w:r>
        <w:t xml:space="preserve">Where a working exploit is publicly known, or is being used in the wild, the</w:t>
      </w:r>
      <w:r>
        <w:t xml:space="preserve"> </w:t>
      </w:r>
      <w:r>
        <w:t xml:space="preserve">remediation window shortens to</w:t>
      </w:r>
      <w:r>
        <w:t xml:space="preserve"> </w:t>
      </w:r>
      <w:r>
        <w:rPr>
          <w:b/>
          <w:bCs/>
        </w:rPr>
        <w:t xml:space="preserve">48 hours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Non-security functional updates follow the normal change process</w:t>
      </w:r>
      <w:r>
        <w:t xml:space="preserve"> </w:t>
      </w:r>
      <w:r>
        <w:t xml:space="preserve">(POL-CHANGE-001) and are not governed by the security timeframes above.</w:t>
      </w:r>
    </w:p>
    <w:bookmarkEnd w:id="12"/>
    <w:bookmarkStart w:id="13" w:name="vulnerability-scanning-and-coverage"/>
    <w:p>
      <w:pPr>
        <w:pStyle w:val="Heading3"/>
      </w:pPr>
      <w:r>
        <w:t xml:space="preserve">3.2 Vulnerability scanning and coverage</w:t>
      </w:r>
    </w:p>
    <w:p>
      <w:pPr>
        <w:pStyle w:val="Compact"/>
        <w:numPr>
          <w:ilvl w:val="0"/>
          <w:numId w:val="1003"/>
        </w:numPr>
      </w:pPr>
      <w:r>
        <w:t xml:space="preserve">Authenticated vulnerability scans are run across the in-scope estate on at</w:t>
      </w:r>
      <w:r>
        <w:t xml:space="preserve"> </w:t>
      </w:r>
      <w:r>
        <w:t xml:space="preserve">least a</w:t>
      </w:r>
      <w:r>
        <w:t xml:space="preserve"> </w:t>
      </w:r>
      <w:r>
        <w:rPr>
          <w:b/>
          <w:bCs/>
        </w:rPr>
        <w:t xml:space="preserve">monthly</w:t>
      </w:r>
      <w:r>
        <w:t xml:space="preserve"> </w:t>
      </w:r>
      <w:r>
        <w:t xml:space="preserve">cadence, with the external attack surface scanned weekly.</w:t>
      </w:r>
    </w:p>
    <w:p>
      <w:pPr>
        <w:pStyle w:val="Compact"/>
        <w:numPr>
          <w:ilvl w:val="0"/>
          <w:numId w:val="1003"/>
        </w:numPr>
      </w:pPr>
      <w:r>
        <w:t xml:space="preserve">Scan results are triaged by IT with Security oversight; findings are ranked by</w:t>
      </w:r>
      <w:r>
        <w:t xml:space="preserve"> </w:t>
      </w:r>
      <w:r>
        <w:t xml:space="preserve">severity (CVSS) and exploitability and fed into the remediation queue.</w:t>
      </w:r>
    </w:p>
    <w:p>
      <w:pPr>
        <w:pStyle w:val="Compact"/>
        <w:numPr>
          <w:ilvl w:val="0"/>
          <w:numId w:val="1003"/>
        </w:numPr>
      </w:pPr>
      <w:r>
        <w:t xml:space="preserve">Coverage is reconciled against the asset inventory so that no in-scope asset</w:t>
      </w:r>
      <w:r>
        <w:t xml:space="preserve"> </w:t>
      </w:r>
      <w:r>
        <w:t xml:space="preserve">is left unscanned.</w:t>
      </w:r>
    </w:p>
    <w:p>
      <w:pPr>
        <w:pStyle w:val="BlockText"/>
      </w:pPr>
      <w:r>
        <w:rPr>
          <w:i/>
          <w:iCs/>
        </w:rPr>
        <w:t xml:space="preserve">[Reviewer, 2025-03-18: the monthly authenticated-scan cadence is stated here</w:t>
      </w:r>
      <w:r>
        <w:rPr>
          <w:i/>
          <w:iCs/>
        </w:rPr>
        <w:t xml:space="preserve"> </w:t>
      </w:r>
      <w:r>
        <w:rPr>
          <w:i/>
          <w:iCs/>
        </w:rPr>
        <w:t xml:space="preserve">as policy, but I could not locate retained scan reports or a scan schedule for</w:t>
      </w:r>
      <w:r>
        <w:rPr>
          <w:i/>
          <w:iCs/>
        </w:rPr>
        <w:t xml:space="preserve"> </w:t>
      </w:r>
      <w:r>
        <w:rPr>
          <w:i/>
          <w:iCs/>
        </w:rPr>
        <w:t xml:space="preserve">the last two quarters. Hamish confirms ad-hoc scans have been run but records</w:t>
      </w:r>
      <w:r>
        <w:rPr>
          <w:i/>
          <w:iCs/>
        </w:rPr>
        <w:t xml:space="preserve"> </w:t>
      </w:r>
      <w:r>
        <w:rPr>
          <w:i/>
          <w:iCs/>
        </w:rPr>
        <w:t xml:space="preserve">are not being kept centrally — we cannot currently evidence this control for</w:t>
      </w:r>
      <w:r>
        <w:rPr>
          <w:i/>
          <w:iCs/>
        </w:rPr>
        <w:t xml:space="preserve"> </w:t>
      </w:r>
      <w:r>
        <w:rPr>
          <w:i/>
          <w:iCs/>
        </w:rPr>
        <w:t xml:space="preserve">the Stage 1 audit. Open action for IT to stand up a retained scan register.]</w:t>
      </w:r>
    </w:p>
    <w:bookmarkEnd w:id="13"/>
    <w:bookmarkStart w:id="14" w:name="patch-compliance-reporting"/>
    <w:p>
      <w:pPr>
        <w:pStyle w:val="Heading3"/>
      </w:pPr>
      <w:r>
        <w:t xml:space="preserve">3.3 Patch-compliance reporting</w:t>
      </w:r>
    </w:p>
    <w:p>
      <w:pPr>
        <w:pStyle w:val="Compact"/>
        <w:numPr>
          <w:ilvl w:val="0"/>
          <w:numId w:val="1004"/>
        </w:numPr>
      </w:pPr>
      <w:r>
        <w:t xml:space="preserve">IT reports patch-compliance monthly to the CIO and to the ISMS forum.</w:t>
      </w:r>
    </w:p>
    <w:p>
      <w:pPr>
        <w:pStyle w:val="Compact"/>
        <w:numPr>
          <w:ilvl w:val="0"/>
          <w:numId w:val="1004"/>
        </w:numPr>
      </w:pPr>
      <w:r>
        <w:t xml:space="preserve">Compliance is expressed as the percentage of in-scope assets patched within</w:t>
      </w:r>
      <w:r>
        <w:t xml:space="preserve"> </w:t>
      </w:r>
      <w:r>
        <w:t xml:space="preserve">the applicable window.</w:t>
      </w:r>
    </w:p>
    <w:p>
      <w:pPr>
        <w:pStyle w:val="BlockText"/>
      </w:pPr>
      <w:r>
        <w:rPr>
          <w:i/>
          <w:iCs/>
        </w:rPr>
        <w:t xml:space="preserve">[Reviewer, 2025-03-18: reported compliance sits in the</w:t>
      </w:r>
      <w:r>
        <w:rPr>
          <w:i/>
          <w:iCs/>
        </w:rPr>
        <w:t xml:space="preserve"> </w:t>
      </w:r>
      <w:r>
        <w:rPr>
          <w:i/>
          <w:iCs/>
        </w:rPr>
        <w:t xml:space="preserve">“high-nineties percent”</w:t>
      </w:r>
      <w:r>
        <w:rPr>
          <w:i/>
          <w:iCs/>
        </w:rPr>
        <w:t xml:space="preserve"> </w:t>
      </w:r>
      <w:r>
        <w:rPr>
          <w:i/>
          <w:iCs/>
        </w:rPr>
        <w:t xml:space="preserve">range, but the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denominator is not defined</w:t>
      </w:r>
      <w:r>
        <w:rPr>
          <w:i/>
          <w:iCs/>
        </w:rPr>
        <w:t xml:space="preserve"> </w:t>
      </w:r>
      <w:r>
        <w:rPr>
          <w:i/>
          <w:iCs/>
        </w:rPr>
        <w:t xml:space="preserve">— it is unclear whether the</w:t>
      </w:r>
      <w:r>
        <w:rPr>
          <w:i/>
          <w:iCs/>
        </w:rPr>
        <w:t xml:space="preserve"> </w:t>
      </w:r>
      <w:r>
        <w:rPr>
          <w:i/>
          <w:iCs/>
        </w:rPr>
        <w:t xml:space="preserve">figure covers all in-scope endpoints or only the centrally-managed (Intune)</w:t>
      </w:r>
      <w:r>
        <w:rPr>
          <w:i/>
          <w:iCs/>
        </w:rPr>
        <w:t xml:space="preserve"> </w:t>
      </w:r>
      <w:r>
        <w:rPr>
          <w:i/>
          <w:iCs/>
        </w:rPr>
        <w:t xml:space="preserve">estate. Bring-your-own and the Malaga legacy machines may be excluded from the</w:t>
      </w:r>
      <w:r>
        <w:rPr>
          <w:i/>
          <w:iCs/>
        </w:rPr>
        <w:t xml:space="preserve"> </w:t>
      </w:r>
      <w:r>
        <w:rPr>
          <w:i/>
          <w:iCs/>
        </w:rPr>
        <w:t xml:space="preserve">count, which would materially overstate coverage. This must be pinned down and</w:t>
      </w:r>
      <w:r>
        <w:rPr>
          <w:i/>
          <w:iCs/>
        </w:rPr>
        <w:t xml:space="preserve"> </w:t>
      </w:r>
      <w:r>
        <w:rPr>
          <w:i/>
          <w:iCs/>
        </w:rPr>
        <w:t xml:space="preserve">the denominator published before the number can be relied upon.]</w:t>
      </w:r>
    </w:p>
    <w:bookmarkEnd w:id="14"/>
    <w:bookmarkStart w:id="15" w:name="legacy-and-unsupported-software"/>
    <w:p>
      <w:pPr>
        <w:pStyle w:val="Heading3"/>
      </w:pPr>
      <w:r>
        <w:t xml:space="preserve">3.4 Legacy and unsupported software</w:t>
      </w:r>
    </w:p>
    <w:p>
      <w:pPr>
        <w:pStyle w:val="Compact"/>
        <w:numPr>
          <w:ilvl w:val="0"/>
          <w:numId w:val="1005"/>
        </w:numPr>
      </w:pPr>
      <w:r>
        <w:t xml:space="preserve">Unsupported operating systems and applications are removed from production or</w:t>
      </w:r>
      <w:r>
        <w:t xml:space="preserve"> </w:t>
      </w:r>
      <w:r>
        <w:t xml:space="preserve">placed behind a documented, time-boxed compensating control.</w:t>
      </w:r>
    </w:p>
    <w:p>
      <w:pPr>
        <w:pStyle w:val="Compact"/>
        <w:numPr>
          <w:ilvl w:val="0"/>
          <w:numId w:val="1005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Malaga WA legacy footprint</w:t>
      </w:r>
      <w:r>
        <w:t xml:space="preserve"> </w:t>
      </w:r>
      <w:r>
        <w:t xml:space="preserve">is acknowledged as harder to patch and</w:t>
      </w:r>
      <w:r>
        <w:t xml:space="preserve"> </w:t>
      </w:r>
      <w:r>
        <w:t xml:space="preserve">monitor than the rest of the estate and is treated as elevated risk until</w:t>
      </w:r>
      <w:r>
        <w:t xml:space="preserve"> </w:t>
      </w:r>
      <w:r>
        <w:t xml:space="preserve">decommissioned.</w:t>
      </w:r>
    </w:p>
    <w:p>
      <w:pPr>
        <w:pStyle w:val="BlockText"/>
      </w:pPr>
      <w:r>
        <w:rPr>
          <w:i/>
          <w:iCs/>
        </w:rPr>
        <w:t xml:space="preserve">[Reviewer, 2025-03-19: a decommission plan for the Malaga legacy footprint has</w:t>
      </w:r>
      <w:r>
        <w:rPr>
          <w:i/>
          <w:iCs/>
        </w:rPr>
        <w:t xml:space="preserve"> </w:t>
      </w:r>
      <w:r>
        <w:rPr>
          <w:i/>
          <w:iCs/>
        </w:rPr>
        <w:t xml:space="preserve">been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requested but not yet approved</w:t>
      </w:r>
      <w:r>
        <w:rPr>
          <w:i/>
          <w:iCs/>
        </w:rPr>
        <w:t xml:space="preserve">. Until it is funded and scheduled, these</w:t>
      </w:r>
      <w:r>
        <w:rPr>
          <w:i/>
          <w:iCs/>
        </w:rPr>
        <w:t xml:space="preserve"> </w:t>
      </w:r>
      <w:r>
        <w:rPr>
          <w:i/>
          <w:iCs/>
        </w:rPr>
        <w:t xml:space="preserve">hosts remain a standing exception to §2(b)/(e) with no firm end date — flag to</w:t>
      </w:r>
      <w:r>
        <w:rPr>
          <w:i/>
          <w:iCs/>
        </w:rPr>
        <w:t xml:space="preserve"> </w:t>
      </w:r>
      <w:r>
        <w:rPr>
          <w:i/>
          <w:iCs/>
        </w:rPr>
        <w:t xml:space="preserve">the risk register (POL-RISK-001) and to the CIO.]</w:t>
      </w:r>
    </w:p>
    <w:bookmarkEnd w:id="15"/>
    <w:bookmarkStart w:id="16" w:name="exception-handling"/>
    <w:p>
      <w:pPr>
        <w:pStyle w:val="Heading3"/>
      </w:pPr>
      <w:r>
        <w:t xml:space="preserve">3.5 Exception handling</w:t>
      </w:r>
    </w:p>
    <w:p>
      <w:pPr>
        <w:pStyle w:val="Compact"/>
        <w:numPr>
          <w:ilvl w:val="0"/>
          <w:numId w:val="1006"/>
        </w:numPr>
      </w:pPr>
      <w:r>
        <w:t xml:space="preserve">Any system that cannot meet the patch timeframes requires a formal exception</w:t>
      </w:r>
      <w:r>
        <w:t xml:space="preserve"> </w:t>
      </w:r>
      <w:r>
        <w:t xml:space="preserve">approved by the Head of IT and reviewed by the CISO.</w:t>
      </w:r>
    </w:p>
    <w:p>
      <w:pPr>
        <w:pStyle w:val="Compact"/>
        <w:numPr>
          <w:ilvl w:val="0"/>
          <w:numId w:val="1006"/>
        </w:numPr>
      </w:pPr>
      <w:r>
        <w:t xml:space="preserve">Each exception records the affected asset, the reason, the compensating</w:t>
      </w:r>
      <w:r>
        <w:t xml:space="preserve"> </w:t>
      </w:r>
      <w:r>
        <w:t xml:space="preserve">control, the residual-risk rating and an expiry date.</w:t>
      </w:r>
    </w:p>
    <w:p>
      <w:pPr>
        <w:pStyle w:val="Compact"/>
        <w:numPr>
          <w:ilvl w:val="0"/>
          <w:numId w:val="1006"/>
        </w:numPr>
      </w:pPr>
      <w:r>
        <w:t xml:space="preserve">Exceptions are reviewed at least quarterly and closed as soon as the</w:t>
      </w:r>
      <w:r>
        <w:t xml:space="preserve"> </w:t>
      </w:r>
      <w:r>
        <w:t xml:space="preserve">underlying constraint is resolved.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Document status: v1.0, issued 24-03-2025.</w:t>
      </w:r>
      <w:r>
        <w:t xml:space="preserve"> </w:t>
      </w:r>
      <w:r>
        <w:t xml:space="preserve">Next scheduled review: 24-03-2026.</w:t>
      </w:r>
      <w:r>
        <w:t xml:space="preserve"> </w:t>
      </w:r>
      <w:r>
        <w:t xml:space="preserve">Questions about this policy go to</w:t>
      </w:r>
      <w:r>
        <w:t xml:space="preserve"> </w:t>
      </w:r>
      <w:r>
        <w:rPr>
          <w:rStyle w:val="VerbatimChar"/>
        </w:rPr>
        <w:t xml:space="preserve">itsupport@tessera.locoensayo.org</w:t>
      </w:r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731">
    <w:nsid w:val="00A99731"/>
    <w:multiLevelType w:val="multilevel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</w:lvl>
    <w:lvl w:ilvl="3">
      <w:start w:val="1"/>
      <w:numFmt w:val="lowerLetter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360"/>
      </w:pPr>
    </w:lvl>
    <w:lvl w:ilvl="6">
      <w:start w:val="1"/>
      <w:numFmt w:val="lowerLetter"/>
      <w:lvlText w:val="(%7)"/>
      <w:lvlJc w:val="lef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Letter"/>
      <w:lvlText w:val="(%9)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support/nist_mapping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support/nist_mapping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Patch and Vulnerability Management Policy</dc:title>
  <dc:creator/>
  <dc:description>Defines how Tessera identifies, assesses, patches and remediates technical vulnerabilities across applications and operating systems, in line with APP 11 of the Privacy Act 1988 (Cth) and ISO/IEC 27001:2022 Annex A control A.8.8, and mapping to the ACSC Essential Eight “Patch applications” and “Patch operating systems” mitigation strategies.</dc:description>
  <cp:keywords/>
  <dcterms:created xsi:type="dcterms:W3CDTF">2026-08-17T05:17:24Z</dcterms:created>
  <dcterms:modified xsi:type="dcterms:W3CDTF">2026-08-17T05:17:24Z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categories">
    <vt:lpwstr/>
  </property>
  <property fmtid="{D5CDD505-2E9C-101B-9397-08002B2CF9AE}" pid="4" name="engines">
    <vt:lpwstr/>
  </property>
  <property fmtid="{D5CDD505-2E9C-101B-9397-08002B2CF9AE}" pid="5" name="header-includes">
    <vt:lpwstr/>
  </property>
  <property fmtid="{D5CDD505-2E9C-101B-9397-08002B2CF9AE}" pid="6" name="include-after">
    <vt:lpwstr/>
  </property>
  <property fmtid="{D5CDD505-2E9C-101B-9397-08002B2CF9AE}" pid="7" name="include-before">
    <vt:lpwstr/>
  </property>
  <property fmtid="{D5CDD505-2E9C-101B-9397-08002B2CF9AE}" pid="8" name="labels">
    <vt:lpwstr/>
  </property>
  <property fmtid="{D5CDD505-2E9C-101B-9397-08002B2CF9AE}" pid="9" name="resources">
    <vt:lpwstr/>
  </property>
  <property fmtid="{D5CDD505-2E9C-101B-9397-08002B2CF9AE}" pid="10" name="toc-title">
    <vt:lpwstr>Table of contents</vt:lpwstr>
  </property>
</Properties>
</file>