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Microsoft Office Macro Configuration Standard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848"/>
        <w:gridCol w:w="6072"/>
      </w:tblGrid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t xml:space="preserve">Microsoft Office Macro Configuration Standard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Doc#</w:t>
            </w:r>
          </w:p>
        </w:tc>
        <w:tc>
          <w:tcPr/>
          <w:p>
            <w:pPr>
              <w:pStyle w:val="Compact"/>
            </w:pPr>
            <w:r>
              <w:t xml:space="preserve">SEC-STD-011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26-03-2025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Supersedes</w:t>
            </w:r>
          </w:p>
        </w:tc>
        <w:tc>
          <w:tcPr/>
          <w:p>
            <w:pPr>
              <w:pStyle w:val="Compact"/>
            </w:pPr>
            <w:r>
              <w:t xml:space="preserve">None — new standard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Next Review</w:t>
            </w:r>
          </w:p>
        </w:tc>
        <w:tc>
          <w:tcPr/>
          <w:p>
            <w:pPr>
              <w:pStyle w:val="Compact"/>
            </w:pPr>
            <w:r>
              <w:t xml:space="preserve">26-03-2026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Owner</w:t>
            </w:r>
          </w:p>
        </w:tc>
        <w:tc>
          <w:tcPr/>
          <w:p>
            <w:pPr>
              <w:pStyle w:val="Compact"/>
            </w:pPr>
            <w:r>
              <w:t xml:space="preserve">Head of IT (H. Boyd), SOE / endpoint function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Approved By</w:t>
            </w:r>
          </w:p>
        </w:tc>
        <w:tc>
          <w:tcPr/>
          <w:p>
            <w:pPr>
              <w:pStyle w:val="Compact"/>
            </w:pPr>
            <w:r>
              <w:t xml:space="preserve">Chief Information Security Officer (I. Ferreira)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ISO/IEC 27001:2022</w:t>
            </w:r>
          </w:p>
        </w:tc>
        <w:tc>
          <w:tcPr/>
          <w:p>
            <w:pPr>
              <w:pStyle w:val="Compact"/>
            </w:pPr>
            <w:r>
              <w:t xml:space="preserve">A.8.19 Installation of software on operational systems</w:t>
            </w:r>
          </w:p>
        </w:tc>
      </w:tr>
    </w:tbl>
    <w:p>
      <w:pPr>
        <w:pStyle w:val="BlockText"/>
      </w:pPr>
      <w:r>
        <w:rPr>
          <w:i/>
          <w:iCs/>
        </w:rPr>
        <w:t xml:space="preserve">[Reviewer, 2025-03-24: this standard is referenced by the Essential Eight</w:t>
      </w:r>
      <w:r>
        <w:rPr>
          <w:i/>
          <w:iCs/>
        </w:rPr>
        <w:t xml:space="preserve"> </w:t>
      </w:r>
      <w:r>
        <w:rPr>
          <w:i/>
          <w:iCs/>
        </w:rPr>
        <w:t xml:space="preserve">readiness tracker but had no controlling document until now. It sits under the</w:t>
      </w:r>
      <w:r>
        <w:rPr>
          <w:i/>
          <w:iCs/>
        </w:rPr>
        <w:t xml:space="preserve"> </w:t>
      </w:r>
      <w:r>
        <w:rPr>
          <w:i/>
          <w:iCs/>
        </w:rPr>
        <w:t xml:space="preserve">SOE/endpoint function alongside SEC-STD-012 (User Application Hardening).]</w:t>
      </w:r>
    </w:p>
    <w:bookmarkStart w:id="9" w:name="purpose-and-scope"/>
    <w:p>
      <w:pPr>
        <w:pStyle w:val="Heading2"/>
      </w:pPr>
      <w:r>
        <w:t xml:space="preserve">1. Purpose and scope</w:t>
      </w:r>
    </w:p>
    <w:p>
      <w:pPr>
        <w:pStyle w:val="FirstParagraph"/>
      </w:pPr>
      <w:r>
        <w:t xml:space="preserve">This standard defines the mandatory configuration for Microsoft Office macro</w:t>
      </w:r>
      <w:r>
        <w:t xml:space="preserve"> </w:t>
      </w:r>
      <w:r>
        <w:t xml:space="preserve">settings on all Tessera-managed endpoints. Malicious macros are a well-known</w:t>
      </w:r>
      <w:r>
        <w:t xml:space="preserve"> </w:t>
      </w:r>
      <w:r>
        <w:t xml:space="preserve">delivery mechanism for malware and credential theft; constraining how macros</w:t>
      </w:r>
      <w:r>
        <w:t xml:space="preserve"> </w:t>
      </w:r>
      <w:r>
        <w:t xml:space="preserve">execute reduces that attack surface. The standard gives effect to</w:t>
      </w:r>
      <w:r>
        <w:t xml:space="preserve"> </w:t>
      </w:r>
      <w:r>
        <w:rPr>
          <w:b/>
          <w:bCs/>
        </w:rPr>
        <w:t xml:space="preserve">APP 11</w:t>
      </w:r>
      <w:r>
        <w:t xml:space="preserve"> </w:t>
      </w:r>
      <w:r>
        <w:t xml:space="preserve">(security of personal information) of the</w:t>
      </w:r>
      <w:r>
        <w:t xml:space="preserve"> </w:t>
      </w:r>
      <w:r>
        <w:rPr>
          <w:i/>
          <w:iCs/>
        </w:rPr>
        <w:t xml:space="preserve">Privacy Act 1988</w:t>
      </w:r>
      <w:r>
        <w:t xml:space="preserve"> </w:t>
      </w:r>
      <w:r>
        <w:t xml:space="preserve">(Cth) and to Annex A</w:t>
      </w:r>
      <w:r>
        <w:t xml:space="preserve"> </w:t>
      </w:r>
      <w:r>
        <w:t xml:space="preserve">control</w:t>
      </w:r>
      <w:r>
        <w:t xml:space="preserve"> </w:t>
      </w:r>
      <w:r>
        <w:rPr>
          <w:b/>
          <w:bCs/>
        </w:rPr>
        <w:t xml:space="preserve">A.8.19</w:t>
      </w:r>
      <w:r>
        <w:t xml:space="preserve"> </w:t>
      </w:r>
      <w:r>
        <w:t xml:space="preserve">(installation of software on operational systems) of</w:t>
      </w:r>
      <w:r>
        <w:t xml:space="preserve"> </w:t>
      </w:r>
      <w:r>
        <w:t xml:space="preserve">ISO/IEC 27001:2022, and implements the ACSC Essential Eight mitigation strategy</w:t>
      </w:r>
      <w:r>
        <w:t xml:space="preserve"> </w:t>
      </w:r>
      <w:r>
        <w:rPr>
          <w:b/>
          <w:bCs/>
        </w:rPr>
        <w:t xml:space="preserve">“Configure Microsoft Office macro settings”</w:t>
      </w:r>
      <w:r>
        <w:t xml:space="preserve">.</w:t>
      </w:r>
    </w:p>
    <w:p>
      <w:pPr>
        <w:pStyle w:val="BodyText"/>
      </w:pPr>
      <w:r>
        <w:t xml:space="preserve">It applies to every Tessera-managed device running Microsoft Office (Perth HQ,</w:t>
      </w:r>
      <w:r>
        <w:t xml:space="preserve"> </w:t>
      </w:r>
      <w:r>
        <w:t xml:space="preserve">Sydney, and the Malaga WA operations centre) and to any bring-your-own device</w:t>
      </w:r>
      <w:r>
        <w:t xml:space="preserve"> </w:t>
      </w:r>
      <w:r>
        <w:t xml:space="preserve">enrolled for Tessera or tenant work.</w:t>
      </w:r>
    </w:p>
    <w:bookmarkEnd w:id="9"/>
    <w:bookmarkStart w:id="10" w:name="policy-statements"/>
    <w:p>
      <w:pPr>
        <w:pStyle w:val="Heading2"/>
      </w:pPr>
      <w:r>
        <w:t xml:space="preserve">2. Policy statements</w:t>
      </w:r>
    </w:p>
    <w:p>
      <w:pPr>
        <w:pStyle w:val="FirstParagraph"/>
      </w:pPr>
      <w:r>
        <w:t xml:space="preserve">Tessera policy requires that:</w:t>
      </w:r>
    </w:p>
    <w:p>
      <w:pPr>
        <w:numPr>
          <w:ilvl w:val="0"/>
          <w:numId w:val="1001"/>
        </w:numPr>
      </w:pPr>
      <w:r>
        <w:t xml:space="preserve">macros are</w:t>
      </w:r>
      <w:r>
        <w:t xml:space="preserve"> </w:t>
      </w:r>
      <w:r>
        <w:rPr>
          <w:b/>
          <w:bCs/>
        </w:rPr>
        <w:t xml:space="preserve">disabled by default</w:t>
      </w:r>
      <w:r>
        <w:t xml:space="preserve"> </w:t>
      </w:r>
      <w:r>
        <w:t xml:space="preserve">in all Microsoft Office applications on</w:t>
      </w:r>
      <w:r>
        <w:t xml:space="preserve"> </w:t>
      </w:r>
      <w:r>
        <w:t xml:space="preserve">Tessera-managed endpoints;</w:t>
      </w:r>
    </w:p>
    <w:p>
      <w:pPr>
        <w:numPr>
          <w:ilvl w:val="0"/>
          <w:numId w:val="1001"/>
        </w:numPr>
      </w:pPr>
      <w:r>
        <w:t xml:space="preserve">only macros that are</w:t>
      </w:r>
      <w:r>
        <w:t xml:space="preserve"> </w:t>
      </w:r>
      <w:r>
        <w:rPr>
          <w:b/>
          <w:bCs/>
        </w:rPr>
        <w:t xml:space="preserve">digitally signed by a trusted publisher</w:t>
      </w:r>
      <w:r>
        <w:t xml:space="preserve"> </w:t>
      </w:r>
      <w:r>
        <w:t xml:space="preserve">and run from</w:t>
      </w:r>
      <w:r>
        <w:t xml:space="preserve"> </w:t>
      </w:r>
      <w:r>
        <w:t xml:space="preserve">a</w:t>
      </w:r>
      <w:r>
        <w:t xml:space="preserve"> </w:t>
      </w:r>
      <w:r>
        <w:rPr>
          <w:b/>
          <w:bCs/>
        </w:rPr>
        <w:t xml:space="preserve">trusted location</w:t>
      </w:r>
      <w:r>
        <w:t xml:space="preserve"> </w:t>
      </w:r>
      <w:r>
        <w:t xml:space="preserve">are permitted to execute;</w:t>
      </w:r>
    </w:p>
    <w:p>
      <w:pPr>
        <w:numPr>
          <w:ilvl w:val="0"/>
          <w:numId w:val="1001"/>
        </w:numPr>
      </w:pPr>
      <w:r>
        <w:t xml:space="preserve">macros in files that originate from the</w:t>
      </w:r>
      <w:r>
        <w:t xml:space="preserve"> </w:t>
      </w:r>
      <w:r>
        <w:rPr>
          <w:b/>
          <w:bCs/>
        </w:rPr>
        <w:t xml:space="preserve">internet</w:t>
      </w:r>
      <w:r>
        <w:t xml:space="preserve"> </w:t>
      </w:r>
      <w:r>
        <w:t xml:space="preserve">(carrying the</w:t>
      </w:r>
      <w:r>
        <w:t xml:space="preserve"> </w:t>
      </w:r>
      <w:r>
        <w:t xml:space="preserve">mark-of-the-web) are</w:t>
      </w:r>
      <w:r>
        <w:t xml:space="preserve"> </w:t>
      </w:r>
      <w:r>
        <w:rPr>
          <w:b/>
          <w:bCs/>
        </w:rPr>
        <w:t xml:space="preserve">blocked</w:t>
      </w:r>
      <w:r>
        <w:t xml:space="preserve"> </w:t>
      </w:r>
      <w:r>
        <w:t xml:space="preserve">and cannot be enabled by the user;</w:t>
      </w:r>
    </w:p>
    <w:p>
      <w:pPr>
        <w:numPr>
          <w:ilvl w:val="0"/>
          <w:numId w:val="1001"/>
        </w:numPr>
      </w:pPr>
      <w:r>
        <w:t xml:space="preserve">users cannot enable macros or alter macro security settings themselves —</w:t>
      </w:r>
      <w:r>
        <w:t xml:space="preserve"> </w:t>
      </w:r>
      <w:r>
        <w:t xml:space="preserve">settings are enforced centrally and locked;</w:t>
      </w:r>
    </w:p>
    <w:p>
      <w:pPr>
        <w:numPr>
          <w:ilvl w:val="0"/>
          <w:numId w:val="1001"/>
        </w:numPr>
      </w:pPr>
      <w:r>
        <w:t xml:space="preserve">macro execution is</w:t>
      </w:r>
      <w:r>
        <w:t xml:space="preserve"> </w:t>
      </w:r>
      <w:r>
        <w:rPr>
          <w:b/>
          <w:bCs/>
        </w:rPr>
        <w:t xml:space="preserve">logged</w:t>
      </w:r>
      <w:r>
        <w:t xml:space="preserve"> </w:t>
      </w:r>
      <w:r>
        <w:t xml:space="preserve">and the logs are retained and available to</w:t>
      </w:r>
      <w:r>
        <w:t xml:space="preserve"> </w:t>
      </w:r>
      <w:r>
        <w:t xml:space="preserve">Security;</w:t>
      </w:r>
    </w:p>
    <w:p>
      <w:pPr>
        <w:numPr>
          <w:ilvl w:val="0"/>
          <w:numId w:val="1001"/>
        </w:numPr>
      </w:pPr>
      <w:r>
        <w:t xml:space="preserve">any requirement to run unsigned or third-party macros is handled only through</w:t>
      </w:r>
      <w:r>
        <w:t xml:space="preserve"> </w:t>
      </w:r>
      <w:r>
        <w:t xml:space="preserve">the exception process in §3.4.</w:t>
      </w:r>
    </w:p>
    <w:bookmarkEnd w:id="10"/>
    <w:bookmarkStart w:id="15" w:name="controls-and-procedures"/>
    <w:p>
      <w:pPr>
        <w:pStyle w:val="Heading2"/>
      </w:pPr>
      <w:r>
        <w:t xml:space="preserve">3. Controls and procedures</w:t>
      </w:r>
    </w:p>
    <w:bookmarkStart w:id="11" w:name="baseline-configuration"/>
    <w:p>
      <w:pPr>
        <w:pStyle w:val="Heading3"/>
      </w:pPr>
      <w:r>
        <w:t xml:space="preserve">3.1 Baseline configuration</w:t>
      </w:r>
    </w:p>
    <w:p>
      <w:pPr>
        <w:pStyle w:val="Compact"/>
        <w:numPr>
          <w:ilvl w:val="0"/>
          <w:numId w:val="1002"/>
        </w:numPr>
      </w:pPr>
      <w:r>
        <w:t xml:space="preserve">In Word, Excel, PowerPoint, Outlook, Access and Visio, the macro setting is</w:t>
      </w:r>
      <w:r>
        <w:t xml:space="preserve"> </w:t>
      </w:r>
      <w:r>
        <w:t xml:space="preserve">configured to</w:t>
      </w:r>
      <w:r>
        <w:t xml:space="preserve"> </w:t>
      </w:r>
      <w:r>
        <w:rPr>
          <w:b/>
          <w:bCs/>
        </w:rPr>
        <w:t xml:space="preserve">“Disable all except digitally signed macros”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Trusted locations are restricted to a small, defined set of IT-controlled</w:t>
      </w:r>
      <w:r>
        <w:t xml:space="preserve"> </w:t>
      </w:r>
      <w:r>
        <w:t xml:space="preserve">paths; users cannot add trusted locations.</w:t>
      </w:r>
    </w:p>
    <w:p>
      <w:pPr>
        <w:pStyle w:val="Compact"/>
        <w:numPr>
          <w:ilvl w:val="0"/>
          <w:numId w:val="1002"/>
        </w:numPr>
      </w:pPr>
      <w:r>
        <w:t xml:space="preserve">The list of trusted publishers is centrally managed; a publisher certificate</w:t>
      </w:r>
      <w:r>
        <w:t xml:space="preserve"> </w:t>
      </w:r>
      <w:r>
        <w:t xml:space="preserve">is added only after Security review.</w:t>
      </w:r>
    </w:p>
    <w:bookmarkEnd w:id="11"/>
    <w:bookmarkStart w:id="12" w:name="blocking-macros-from-the-internet"/>
    <w:p>
      <w:pPr>
        <w:pStyle w:val="Heading3"/>
      </w:pPr>
      <w:r>
        <w:t xml:space="preserve">3.2 Blocking macros from the internet</w:t>
      </w:r>
    </w:p>
    <w:p>
      <w:pPr>
        <w:pStyle w:val="Compact"/>
        <w:numPr>
          <w:ilvl w:val="0"/>
          <w:numId w:val="1003"/>
        </w:numPr>
      </w:pPr>
      <w:r>
        <w:t xml:space="preserve">The</w:t>
      </w:r>
      <w:r>
        <w:t xml:space="preserve"> </w:t>
      </w:r>
      <w:r>
        <w:t xml:space="preserve">“Block macros from running in Office files from the Internet”</w:t>
      </w:r>
      <w:r>
        <w:t xml:space="preserve"> </w:t>
      </w:r>
      <w:r>
        <w:t xml:space="preserve">setting is</w:t>
      </w:r>
      <w:r>
        <w:t xml:space="preserve"> </w:t>
      </w:r>
      <w:r>
        <w:t xml:space="preserve">enabled fleet-wide.</w:t>
      </w:r>
    </w:p>
    <w:p>
      <w:pPr>
        <w:pStyle w:val="Compact"/>
        <w:numPr>
          <w:ilvl w:val="0"/>
          <w:numId w:val="1003"/>
        </w:numPr>
      </w:pPr>
      <w:r>
        <w:t xml:space="preserve">Files carrying the mark-of-the-web present a hard block, not a dismissible</w:t>
      </w:r>
      <w:r>
        <w:t xml:space="preserve"> </w:t>
      </w:r>
      <w:r>
        <w:t xml:space="preserve">“Enable content”</w:t>
      </w:r>
      <w:r>
        <w:t xml:space="preserve"> </w:t>
      </w:r>
      <w:r>
        <w:t xml:space="preserve">prompt.</w:t>
      </w:r>
    </w:p>
    <w:bookmarkEnd w:id="12"/>
    <w:bookmarkStart w:id="13" w:name="logging"/>
    <w:p>
      <w:pPr>
        <w:pStyle w:val="Heading3"/>
      </w:pPr>
      <w:r>
        <w:t xml:space="preserve">3.3 Logging</w:t>
      </w:r>
    </w:p>
    <w:p>
      <w:pPr>
        <w:pStyle w:val="Compact"/>
        <w:numPr>
          <w:ilvl w:val="0"/>
          <w:numId w:val="1004"/>
        </w:numPr>
      </w:pPr>
      <w:r>
        <w:t xml:space="preserve">Macro execution and blocked-macro events are logged locally and forwarded to</w:t>
      </w:r>
      <w:r>
        <w:t xml:space="preserve"> </w:t>
      </w:r>
      <w:r>
        <w:t xml:space="preserve">the central logging pipeline.</w:t>
      </w:r>
    </w:p>
    <w:p>
      <w:pPr>
        <w:pStyle w:val="Compact"/>
        <w:numPr>
          <w:ilvl w:val="0"/>
          <w:numId w:val="1004"/>
        </w:numPr>
      </w:pPr>
      <w:r>
        <w:t xml:space="preserve">Security reviews anomalous macro activity as part of routine monitoring.</w:t>
      </w:r>
    </w:p>
    <w:bookmarkEnd w:id="13"/>
    <w:bookmarkStart w:id="14" w:name="exceptions"/>
    <w:p>
      <w:pPr>
        <w:pStyle w:val="Heading3"/>
      </w:pPr>
      <w:r>
        <w:t xml:space="preserve">3.4 Exceptions</w:t>
      </w:r>
    </w:p>
    <w:p>
      <w:pPr>
        <w:pStyle w:val="Compact"/>
        <w:numPr>
          <w:ilvl w:val="0"/>
          <w:numId w:val="1005"/>
        </w:numPr>
      </w:pPr>
      <w:r>
        <w:t xml:space="preserve">Any need to run unsigned macros requires a formal, time-boxed exception</w:t>
      </w:r>
      <w:r>
        <w:t xml:space="preserve"> </w:t>
      </w:r>
      <w:r>
        <w:t xml:space="preserve">approved by the Head of IT and reviewed by the CISO, with a compensating</w:t>
      </w:r>
      <w:r>
        <w:t xml:space="preserve"> </w:t>
      </w:r>
      <w:r>
        <w:t xml:space="preserve">control and an expiry date.</w:t>
      </w:r>
    </w:p>
    <w:p>
      <w:pPr>
        <w:pStyle w:val="Compact"/>
        <w:numPr>
          <w:ilvl w:val="0"/>
          <w:numId w:val="1005"/>
        </w:numPr>
      </w:pPr>
      <w:r>
        <w:t xml:space="preserve">A standing exception currently permits</w:t>
      </w:r>
      <w:r>
        <w:t xml:space="preserve"> </w:t>
      </w:r>
      <w:r>
        <w:rPr>
          <w:b/>
          <w:bCs/>
        </w:rPr>
        <w:t xml:space="preserve">Finance’s legacy spreadsheet</w:t>
      </w:r>
      <w:r>
        <w:rPr>
          <w:b/>
          <w:bCs/>
        </w:rPr>
        <w:t xml:space="preserve"> </w:t>
      </w:r>
      <w:r>
        <w:rPr>
          <w:b/>
          <w:bCs/>
        </w:rPr>
        <w:t xml:space="preserve">templates</w:t>
      </w:r>
      <w:r>
        <w:t xml:space="preserve"> </w:t>
      </w:r>
      <w:r>
        <w:t xml:space="preserve">to run</w:t>
      </w:r>
      <w:r>
        <w:t xml:space="preserve"> </w:t>
      </w:r>
      <w:r>
        <w:rPr>
          <w:b/>
          <w:bCs/>
        </w:rPr>
        <w:t xml:space="preserve">unsigned</w:t>
      </w:r>
      <w:r>
        <w:t xml:space="preserve"> </w:t>
      </w:r>
      <w:r>
        <w:t xml:space="preserve">macros from a shared network location.</w:t>
      </w:r>
    </w:p>
    <w:p>
      <w:pPr>
        <w:pStyle w:val="BlockText"/>
      </w:pPr>
      <w:r>
        <w:rPr>
          <w:i/>
          <w:iCs/>
        </w:rPr>
        <w:t xml:space="preserve">[Reviewer, 2025-03-24: the Finance carve-out is a material weakening of this</w:t>
      </w:r>
      <w:r>
        <w:rPr>
          <w:i/>
          <w:iCs/>
        </w:rPr>
        <w:t xml:space="preserve"> </w:t>
      </w:r>
      <w:r>
        <w:rPr>
          <w:i/>
          <w:iCs/>
        </w:rPr>
        <w:t xml:space="preserve">standard. It permits unsigned macros from a shared location that multiple users</w:t>
      </w:r>
      <w:r>
        <w:rPr>
          <w:i/>
          <w:iCs/>
        </w:rPr>
        <w:t xml:space="preserve"> </w:t>
      </w:r>
      <w:r>
        <w:rPr>
          <w:i/>
          <w:iCs/>
        </w:rPr>
        <w:t xml:space="preserve">can write to, which is exactly the vector §2 is meant to close. It has no</w:t>
      </w:r>
      <w:r>
        <w:rPr>
          <w:i/>
          <w:iCs/>
        </w:rPr>
        <w:t xml:space="preserve"> </w:t>
      </w:r>
      <w:r>
        <w:rPr>
          <w:i/>
          <w:iCs/>
        </w:rPr>
        <w:t xml:space="preserve">expiry date and no compensating control recorded. This needs a remediation plan</w:t>
      </w:r>
      <w:r>
        <w:rPr>
          <w:i/>
          <w:iCs/>
        </w:rPr>
        <w:t xml:space="preserve"> </w:t>
      </w:r>
      <w:r>
        <w:rPr>
          <w:i/>
          <w:iCs/>
        </w:rPr>
        <w:t xml:space="preserve">(re-sign the templates under a trusted publisher, or migrate them off macros)</w:t>
      </w:r>
      <w:r>
        <w:rPr>
          <w:i/>
          <w:iCs/>
        </w:rPr>
        <w:t xml:space="preserve"> </w:t>
      </w:r>
      <w:r>
        <w:rPr>
          <w:i/>
          <w:iCs/>
        </w:rPr>
        <w:t xml:space="preserve">before the Stage 1 audit.]</w:t>
      </w:r>
    </w:p>
    <w:p>
      <w:pPr>
        <w:pStyle w:val="BlockText"/>
      </w:pPr>
      <w:r>
        <w:rPr>
          <w:i/>
          <w:iCs/>
        </w:rPr>
        <w:t xml:space="preserve">[Reviewer, 2025-03-25: more fundamentally, I can find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no evidence of central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GPO/Intune enforcement</w:t>
      </w:r>
      <w:r>
        <w:rPr>
          <w:i/>
          <w:iCs/>
        </w:rPr>
        <w:t xml:space="preserve"> </w:t>
      </w:r>
      <w:r>
        <w:rPr>
          <w:i/>
          <w:iCs/>
        </w:rPr>
        <w:t xml:space="preserve">of the settings in §3.1–§3.2. The baseline is asserted</w:t>
      </w:r>
      <w:r>
        <w:rPr>
          <w:i/>
          <w:iCs/>
        </w:rPr>
        <w:t xml:space="preserve"> </w:t>
      </w:r>
      <w:r>
        <w:rPr>
          <w:i/>
          <w:iCs/>
        </w:rPr>
        <w:t xml:space="preserve">in this document but is not demonstrably pushed to, or locked on, the fleet —</w:t>
      </w:r>
      <w:r>
        <w:rPr>
          <w:i/>
          <w:iCs/>
        </w:rPr>
        <w:t xml:space="preserve"> </w:t>
      </w:r>
      <w:r>
        <w:rPr>
          <w:i/>
          <w:iCs/>
        </w:rPr>
        <w:t xml:space="preserve">especially the Malaga legacy machines, which are outside the main Intune</w:t>
      </w:r>
      <w:r>
        <w:rPr>
          <w:i/>
          <w:iCs/>
        </w:rPr>
        <w:t xml:space="preserve"> </w:t>
      </w:r>
      <w:r>
        <w:rPr>
          <w:i/>
          <w:iCs/>
        </w:rPr>
        <w:t xml:space="preserve">ring. Without a configuration-compliance report this control cannot be</w:t>
      </w:r>
      <w:r>
        <w:rPr>
          <w:i/>
          <w:iCs/>
        </w:rPr>
        <w:t xml:space="preserve"> </w:t>
      </w:r>
      <w:r>
        <w:rPr>
          <w:i/>
          <w:iCs/>
        </w:rPr>
        <w:t xml:space="preserve">evidenced as operating. Open action for the SOE function.]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Document status: v1.0, issued 26-03-2025.</w:t>
      </w:r>
      <w:r>
        <w:t xml:space="preserve"> </w:t>
      </w:r>
      <w:r>
        <w:t xml:space="preserve">Next scheduled review: 26-03-2026.</w:t>
      </w:r>
      <w:r>
        <w:t xml:space="preserve"> </w:t>
      </w:r>
      <w:r>
        <w:t xml:space="preserve">Questions about this standard go to</w:t>
      </w:r>
      <w:r>
        <w:t xml:space="preserve"> </w:t>
      </w:r>
      <w:r>
        <w:rPr>
          <w:rStyle w:val="VerbatimChar"/>
        </w:rPr>
        <w:t xml:space="preserve">itsupport@tessera.locoensayo.org</w:t>
      </w:r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731">
    <w:nsid w:val="00A99731"/>
    <w:multiLevelType w:val="multilevel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(%2)"/>
      <w:lvlJc w:val="left"/>
      <w:pPr>
        <w:ind w:left="1440" w:hanging="360"/>
      </w:pPr>
    </w:lvl>
    <w:lvl w:ilvl="2">
      <w:start w:val="1"/>
      <w:numFmt w:val="lowerLetter"/>
      <w:lvlText w:val="(%3)"/>
      <w:lvlJc w:val="left"/>
      <w:pPr>
        <w:ind w:left="2160" w:hanging="360"/>
      </w:pPr>
    </w:lvl>
    <w:lvl w:ilvl="3">
      <w:start w:val="1"/>
      <w:numFmt w:val="lowerLetter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Letter"/>
      <w:lvlText w:val="(%6)"/>
      <w:lvlJc w:val="left"/>
      <w:pPr>
        <w:ind w:left="4320" w:hanging="360"/>
      </w:pPr>
    </w:lvl>
    <w:lvl w:ilvl="6">
      <w:start w:val="1"/>
      <w:numFmt w:val="lowerLetter"/>
      <w:lvlText w:val="(%7)"/>
      <w:lvlJc w:val="left"/>
      <w:pPr>
        <w:ind w:left="5040" w:hanging="360"/>
      </w:pPr>
    </w:lvl>
    <w:lvl w:ilvl="7">
      <w:start w:val="1"/>
      <w:numFmt w:val="lowerLetter"/>
      <w:lvlText w:val="(%8)"/>
      <w:lvlJc w:val="left"/>
      <w:pPr>
        <w:ind w:left="5760" w:hanging="360"/>
      </w:pPr>
    </w:lvl>
    <w:lvl w:ilvl="8">
      <w:start w:val="1"/>
      <w:numFmt w:val="lowerLetter"/>
      <w:lvlText w:val="(%9)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7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Office Macro Configuration Standard</dc:title>
  <dc:creator/>
  <dc:description>Sets the mandatory configuration baseline for Microsoft Office macro settings on Tessera-managed endpoints, in line with APP 11 of the Privacy Act 1988 (Cth) and ISO/IEC 27001:2022 Annex A control A.8.19, and mapping to the ACSC Essential Eight “Configure Microsoft Office macro settings” mitigation strategy.</dc:description>
  <cp:keywords/>
  <dcterms:created xsi:type="dcterms:W3CDTF">2026-08-17T05:17:51Z</dcterms:created>
  <dcterms:modified xsi:type="dcterms:W3CDTF">2026-08-17T05:17:51Z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categories">
    <vt:lpwstr/>
  </property>
  <property fmtid="{D5CDD505-2E9C-101B-9397-08002B2CF9AE}" pid="4" name="engines">
    <vt:lpwstr/>
  </property>
  <property fmtid="{D5CDD505-2E9C-101B-9397-08002B2CF9AE}" pid="5" name="header-includes">
    <vt:lpwstr/>
  </property>
  <property fmtid="{D5CDD505-2E9C-101B-9397-08002B2CF9AE}" pid="6" name="include-after">
    <vt:lpwstr/>
  </property>
  <property fmtid="{D5CDD505-2E9C-101B-9397-08002B2CF9AE}" pid="7" name="include-before">
    <vt:lpwstr/>
  </property>
  <property fmtid="{D5CDD505-2E9C-101B-9397-08002B2CF9AE}" pid="8" name="labels">
    <vt:lpwstr/>
  </property>
  <property fmtid="{D5CDD505-2E9C-101B-9397-08002B2CF9AE}" pid="9" name="resources">
    <vt:lpwstr/>
  </property>
  <property fmtid="{D5CDD505-2E9C-101B-9397-08002B2CF9AE}" pid="10" name="toc-title">
    <vt:lpwstr>Table of contents</vt:lpwstr>
  </property>
</Properties>
</file>