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User Application Hardening Standard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User Application Hardening Standard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Doc#</w:t>
            </w:r>
          </w:p>
        </w:tc>
        <w:tc>
          <w:tcPr/>
          <w:p>
            <w:pPr>
              <w:pStyle w:val="Compact"/>
            </w:pPr>
            <w:r>
              <w:t xml:space="preserve">SEC-STD-012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28-03-2025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Supersedes</w:t>
            </w:r>
          </w:p>
        </w:tc>
        <w:tc>
          <w:tcPr/>
          <w:p>
            <w:pPr>
              <w:pStyle w:val="Compact"/>
            </w:pPr>
            <w:r>
              <w:t xml:space="preserve">None — new standard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28-03-2026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Head of IT (H. Boyd), SOE / endpoint function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Approved By</w:t>
            </w:r>
          </w:p>
        </w:tc>
        <w:tc>
          <w:tcPr/>
          <w:p>
            <w:pPr>
              <w:pStyle w:val="Compact"/>
            </w:pPr>
            <w:r>
              <w:t xml:space="preserve">Chief Information Security Officer (I. Ferreira)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ISO/IEC 27001:2022</w:t>
            </w:r>
          </w:p>
        </w:tc>
        <w:tc>
          <w:tcPr/>
          <w:p>
            <w:pPr>
              <w:pStyle w:val="Compact"/>
            </w:pPr>
            <w:r>
              <w:t xml:space="preserve">A.8.9 Configuration management</w:t>
            </w:r>
          </w:p>
        </w:tc>
      </w:tr>
    </w:tbl>
    <w:p>
      <w:pPr>
        <w:pStyle w:val="BlockText"/>
      </w:pPr>
      <w:r>
        <w:rPr>
          <w:i/>
          <w:iCs/>
        </w:rPr>
        <w:t xml:space="preserve">[Reviewer, 2025-03-27: paired with SEC-STD-011 (Office Macro Configuration)</w:t>
      </w:r>
      <w:r>
        <w:rPr>
          <w:i/>
          <w:iCs/>
        </w:rPr>
        <w:t xml:space="preserve"> </w:t>
      </w:r>
      <w:r>
        <w:rPr>
          <w:i/>
          <w:iCs/>
        </w:rPr>
        <w:t xml:space="preserve">under the SOE/endpoint function. Both standards give effect to the Essential</w:t>
      </w:r>
      <w:r>
        <w:rPr>
          <w:i/>
          <w:iCs/>
        </w:rPr>
        <w:t xml:space="preserve"> </w:t>
      </w:r>
      <w:r>
        <w:rPr>
          <w:i/>
          <w:iCs/>
        </w:rPr>
        <w:t xml:space="preserve">Eight hardening pillars that Tessera’s readiness assessment flagged as lacking</w:t>
      </w:r>
      <w:r>
        <w:rPr>
          <w:i/>
          <w:iCs/>
        </w:rPr>
        <w:t xml:space="preserve"> </w:t>
      </w:r>
      <w:r>
        <w:rPr>
          <w:i/>
          <w:iCs/>
        </w:rPr>
        <w:t xml:space="preserve">a controlling document.]</w:t>
      </w:r>
    </w:p>
    <w:bookmarkStart w:id="9" w:name="purpose-and-scope"/>
    <w:p>
      <w:pPr>
        <w:pStyle w:val="Heading2"/>
      </w:pPr>
      <w:r>
        <w:t xml:space="preserve">1. Purpose and scope</w:t>
      </w:r>
    </w:p>
    <w:p>
      <w:pPr>
        <w:pStyle w:val="FirstParagraph"/>
      </w:pPr>
      <w:r>
        <w:t xml:space="preserve">This standard defines the mandatory hardening baseline for user applications and</w:t>
      </w:r>
      <w:r>
        <w:t xml:space="preserve"> </w:t>
      </w:r>
      <w:r>
        <w:t xml:space="preserve">the standard operating environment (SOE) on Tessera-managed endpoints. Reducing</w:t>
      </w:r>
      <w:r>
        <w:t xml:space="preserve"> </w:t>
      </w:r>
      <w:r>
        <w:t xml:space="preserve">the features and content that everyday applications will execute shrinks the</w:t>
      </w:r>
      <w:r>
        <w:t xml:space="preserve"> </w:t>
      </w:r>
      <w:r>
        <w:t xml:space="preserve">attack surface available to malicious web content and documents. The standard</w:t>
      </w:r>
      <w:r>
        <w:t xml:space="preserve"> </w:t>
      </w:r>
      <w:r>
        <w:t xml:space="preserve">gives effect to</w:t>
      </w:r>
      <w:r>
        <w:t xml:space="preserve"> </w:t>
      </w:r>
      <w:r>
        <w:rPr>
          <w:b/>
          <w:bCs/>
        </w:rPr>
        <w:t xml:space="preserve">APP 11</w:t>
      </w:r>
      <w:r>
        <w:t xml:space="preserve"> </w:t>
      </w:r>
      <w:r>
        <w:t xml:space="preserve">(security of personal information) of the</w:t>
      </w:r>
      <w:r>
        <w:t xml:space="preserve"> </w:t>
      </w:r>
      <w:r>
        <w:rPr>
          <w:i/>
          <w:iCs/>
        </w:rPr>
        <w:t xml:space="preserve">Privacy Act</w:t>
      </w:r>
      <w:r>
        <w:rPr>
          <w:i/>
          <w:iCs/>
        </w:rPr>
        <w:t xml:space="preserve"> </w:t>
      </w:r>
      <w:r>
        <w:rPr>
          <w:i/>
          <w:iCs/>
        </w:rPr>
        <w:t xml:space="preserve">1988</w:t>
      </w:r>
      <w:r>
        <w:t xml:space="preserve"> </w:t>
      </w:r>
      <w:r>
        <w:t xml:space="preserve">(Cth) and to Annex A control</w:t>
      </w:r>
      <w:r>
        <w:t xml:space="preserve"> </w:t>
      </w:r>
      <w:r>
        <w:rPr>
          <w:b/>
          <w:bCs/>
        </w:rPr>
        <w:t xml:space="preserve">A.8.9</w:t>
      </w:r>
      <w:r>
        <w:t xml:space="preserve"> </w:t>
      </w:r>
      <w:r>
        <w:t xml:space="preserve">(configuration management) of</w:t>
      </w:r>
      <w:r>
        <w:t xml:space="preserve"> </w:t>
      </w:r>
      <w:r>
        <w:t xml:space="preserve">ISO/IEC 27001:2022, and implements the ACSC Essential Eight mitigation strategy</w:t>
      </w:r>
      <w:r>
        <w:t xml:space="preserve"> </w:t>
      </w:r>
      <w:r>
        <w:rPr>
          <w:b/>
          <w:bCs/>
        </w:rPr>
        <w:t xml:space="preserve">“User application hardening”</w:t>
      </w:r>
      <w:r>
        <w:t xml:space="preserve">.</w:t>
      </w:r>
    </w:p>
    <w:p>
      <w:pPr>
        <w:pStyle w:val="BodyText"/>
      </w:pPr>
      <w:r>
        <w:t xml:space="preserve">It applies to every Tessera-managed device (Perth HQ, Sydney, and the Malaga WA</w:t>
      </w:r>
      <w:r>
        <w:t xml:space="preserve"> </w:t>
      </w:r>
      <w:r>
        <w:t xml:space="preserve">operations centre) and to any bring-your-own device enrolled for Tessera or</w:t>
      </w:r>
      <w:r>
        <w:t xml:space="preserve"> </w:t>
      </w:r>
      <w:r>
        <w:t xml:space="preserve">tenant work.</w:t>
      </w:r>
    </w:p>
    <w:bookmarkEnd w:id="9"/>
    <w:bookmarkStart w:id="10" w:name="policy-statements"/>
    <w:p>
      <w:pPr>
        <w:pStyle w:val="Heading2"/>
      </w:pPr>
      <w:r>
        <w:t xml:space="preserve">2. Policy statements</w:t>
      </w:r>
    </w:p>
    <w:p>
      <w:pPr>
        <w:pStyle w:val="FirstParagraph"/>
      </w:pPr>
      <w:r>
        <w:t xml:space="preserve">Tessera policy requires that:</w:t>
      </w:r>
    </w:p>
    <w:p>
      <w:pPr>
        <w:numPr>
          <w:ilvl w:val="0"/>
          <w:numId w:val="1001"/>
        </w:numPr>
      </w:pPr>
      <w:r>
        <w:t xml:space="preserve">all Tessera-managed endpoints are built from a defined, version-controlled</w:t>
      </w:r>
      <w:r>
        <w:t xml:space="preserve"> </w:t>
      </w:r>
      <w:r>
        <w:rPr>
          <w:b/>
          <w:bCs/>
        </w:rPr>
        <w:t xml:space="preserve">standard operating environment (SOE) baseline</w:t>
      </w:r>
      <w:r>
        <w:t xml:space="preserve">;</w:t>
      </w:r>
    </w:p>
    <w:p>
      <w:pPr>
        <w:numPr>
          <w:ilvl w:val="0"/>
          <w:numId w:val="1001"/>
        </w:numPr>
      </w:pPr>
      <w:r>
        <w:t xml:space="preserve">web browsers are hardened to</w:t>
      </w:r>
      <w:r>
        <w:t xml:space="preserve"> </w:t>
      </w:r>
      <w:r>
        <w:rPr>
          <w:b/>
          <w:bCs/>
        </w:rPr>
        <w:t xml:space="preserve">block Flash content, Java, and web</w:t>
      </w:r>
      <w:r>
        <w:rPr>
          <w:b/>
          <w:bCs/>
        </w:rPr>
        <w:t xml:space="preserve"> </w:t>
      </w:r>
      <w:r>
        <w:rPr>
          <w:b/>
          <w:bCs/>
        </w:rPr>
        <w:t xml:space="preserve">advertisements</w:t>
      </w:r>
      <w:r>
        <w:t xml:space="preserve">, and to disable features that are not needed for business</w:t>
      </w:r>
      <w:r>
        <w:t xml:space="preserve"> </w:t>
      </w:r>
      <w:r>
        <w:t xml:space="preserve">use;</w:t>
      </w:r>
    </w:p>
    <w:p>
      <w:pPr>
        <w:numPr>
          <w:ilvl w:val="0"/>
          <w:numId w:val="1001"/>
        </w:numPr>
      </w:pPr>
      <w:r>
        <w:t xml:space="preserve">PDF readers are hardened — JavaScript in documents is disabled and</w:t>
      </w:r>
      <w:r>
        <w:t xml:space="preserve"> </w:t>
      </w:r>
      <w:r>
        <w:t xml:space="preserve">protected/sandboxed viewing modes are enabled;</w:t>
      </w:r>
    </w:p>
    <w:p>
      <w:pPr>
        <w:numPr>
          <w:ilvl w:val="0"/>
          <w:numId w:val="1001"/>
        </w:numPr>
      </w:pPr>
      <w:r>
        <w:t xml:space="preserve">unneeded operating-system features, components and services are disabled or</w:t>
      </w:r>
      <w:r>
        <w:t xml:space="preserve"> </w:t>
      </w:r>
      <w:r>
        <w:t xml:space="preserve">removed from the baseline;</w:t>
      </w:r>
    </w:p>
    <w:p>
      <w:pPr>
        <w:numPr>
          <w:ilvl w:val="0"/>
          <w:numId w:val="1001"/>
        </w:numPr>
      </w:pPr>
      <w:r>
        <w:t xml:space="preserve">the hardened configuration is</w:t>
      </w:r>
      <w:r>
        <w:t xml:space="preserve"> </w:t>
      </w:r>
      <w:r>
        <w:rPr>
          <w:b/>
          <w:bCs/>
        </w:rPr>
        <w:t xml:space="preserve">enforced centrally</w:t>
      </w:r>
      <w:r>
        <w:t xml:space="preserve"> </w:t>
      </w:r>
      <w:r>
        <w:t xml:space="preserve">and cannot be relaxed by</w:t>
      </w:r>
      <w:r>
        <w:t xml:space="preserve"> </w:t>
      </w:r>
      <w:r>
        <w:t xml:space="preserve">the user;</w:t>
      </w:r>
    </w:p>
    <w:p>
      <w:pPr>
        <w:numPr>
          <w:ilvl w:val="0"/>
          <w:numId w:val="1001"/>
        </w:numPr>
      </w:pPr>
      <w:r>
        <w:t xml:space="preserve">any deviation from the baseline is handled through the exception process in</w:t>
      </w:r>
      <w:r>
        <w:t xml:space="preserve"> </w:t>
      </w:r>
      <w:r>
        <w:t xml:space="preserve">§3.4.</w:t>
      </w:r>
    </w:p>
    <w:bookmarkEnd w:id="10"/>
    <w:bookmarkStart w:id="15" w:name="controls-and-procedures"/>
    <w:p>
      <w:pPr>
        <w:pStyle w:val="Heading2"/>
      </w:pPr>
      <w:r>
        <w:t xml:space="preserve">3. Controls and procedures</w:t>
      </w:r>
    </w:p>
    <w:bookmarkStart w:id="11" w:name="standard-operating-environment-baseline"/>
    <w:p>
      <w:pPr>
        <w:pStyle w:val="Heading3"/>
      </w:pPr>
      <w:r>
        <w:t xml:space="preserve">3.1 Standard operating environment baseline</w:t>
      </w:r>
    </w:p>
    <w:p>
      <w:pPr>
        <w:pStyle w:val="Compact"/>
        <w:numPr>
          <w:ilvl w:val="0"/>
          <w:numId w:val="1002"/>
        </w:numPr>
      </w:pPr>
      <w:r>
        <w:t xml:space="preserve">IT maintains a documented SOE baseline for each supported platform, held under</w:t>
      </w:r>
      <w:r>
        <w:t xml:space="preserve"> </w:t>
      </w:r>
      <w:r>
        <w:t xml:space="preserve">version control.</w:t>
      </w:r>
    </w:p>
    <w:p>
      <w:pPr>
        <w:pStyle w:val="Compact"/>
        <w:numPr>
          <w:ilvl w:val="0"/>
          <w:numId w:val="1002"/>
        </w:numPr>
      </w:pPr>
      <w:r>
        <w:t xml:space="preserve">New devices are provisioned from the baseline; drift is expected to be</w:t>
      </w:r>
      <w:r>
        <w:t xml:space="preserve"> </w:t>
      </w:r>
      <w:r>
        <w:t xml:space="preserve">detected and corrected by configuration management.</w:t>
      </w:r>
    </w:p>
    <w:bookmarkEnd w:id="11"/>
    <w:bookmarkStart w:id="12" w:name="browser-hardening"/>
    <w:p>
      <w:pPr>
        <w:pStyle w:val="Heading3"/>
      </w:pPr>
      <w:r>
        <w:t xml:space="preserve">3.2 Browser hardening</w:t>
      </w:r>
    </w:p>
    <w:p>
      <w:pPr>
        <w:pStyle w:val="Compact"/>
        <w:numPr>
          <w:ilvl w:val="0"/>
          <w:numId w:val="1003"/>
        </w:numPr>
      </w:pPr>
      <w:r>
        <w:t xml:space="preserve">Adobe Flash Player is removed; where a runtime is present it is blocked.</w:t>
      </w:r>
    </w:p>
    <w:p>
      <w:pPr>
        <w:pStyle w:val="Compact"/>
        <w:numPr>
          <w:ilvl w:val="0"/>
          <w:numId w:val="1003"/>
        </w:numPr>
      </w:pPr>
      <w:r>
        <w:t xml:space="preserve">Java in the browser is disabled unless a documented line-of-business need</w:t>
      </w:r>
      <w:r>
        <w:t xml:space="preserve"> </w:t>
      </w:r>
      <w:r>
        <w:t xml:space="preserve">exists.</w:t>
      </w:r>
    </w:p>
    <w:p>
      <w:pPr>
        <w:pStyle w:val="Compact"/>
        <w:numPr>
          <w:ilvl w:val="0"/>
          <w:numId w:val="1003"/>
        </w:numPr>
      </w:pPr>
      <w:r>
        <w:t xml:space="preserve">Web advertisements are blocked at the browser and/or network layer.</w:t>
      </w:r>
    </w:p>
    <w:p>
      <w:pPr>
        <w:pStyle w:val="Compact"/>
        <w:numPr>
          <w:ilvl w:val="0"/>
          <w:numId w:val="1003"/>
        </w:numPr>
      </w:pPr>
      <w:r>
        <w:t xml:space="preserve">Unneeded browser features are disabled in the baseline profile.</w:t>
      </w:r>
    </w:p>
    <w:bookmarkEnd w:id="12"/>
    <w:bookmarkStart w:id="13" w:name="pdf-reader-and-os-hardening"/>
    <w:p>
      <w:pPr>
        <w:pStyle w:val="Heading3"/>
      </w:pPr>
      <w:r>
        <w:t xml:space="preserve">3.3 PDF-reader and OS hardening</w:t>
      </w:r>
    </w:p>
    <w:p>
      <w:pPr>
        <w:pStyle w:val="Compact"/>
        <w:numPr>
          <w:ilvl w:val="0"/>
          <w:numId w:val="1004"/>
        </w:numPr>
      </w:pPr>
      <w:r>
        <w:t xml:space="preserve">The approved PDF reader is configured with document JavaScript disabled and</w:t>
      </w:r>
      <w:r>
        <w:t xml:space="preserve"> </w:t>
      </w:r>
      <w:r>
        <w:t xml:space="preserve">protected view enabled.</w:t>
      </w:r>
    </w:p>
    <w:p>
      <w:pPr>
        <w:pStyle w:val="Compact"/>
        <w:numPr>
          <w:ilvl w:val="0"/>
          <w:numId w:val="1004"/>
        </w:numPr>
      </w:pPr>
      <w:r>
        <w:t xml:space="preserve">Unneeded Windows/macOS components and services are disabled or removed from</w:t>
      </w:r>
      <w:r>
        <w:t xml:space="preserve"> </w:t>
      </w:r>
      <w:r>
        <w:t xml:space="preserve">the SOE.</w:t>
      </w:r>
    </w:p>
    <w:bookmarkEnd w:id="13"/>
    <w:bookmarkStart w:id="14" w:name="exceptions"/>
    <w:p>
      <w:pPr>
        <w:pStyle w:val="Heading3"/>
      </w:pPr>
      <w:r>
        <w:t xml:space="preserve">3.4 Exceptions</w:t>
      </w:r>
    </w:p>
    <w:p>
      <w:pPr>
        <w:pStyle w:val="Compact"/>
        <w:numPr>
          <w:ilvl w:val="0"/>
          <w:numId w:val="1005"/>
        </w:numPr>
      </w:pPr>
      <w:r>
        <w:t xml:space="preserve">Deviations from the baseline require a formal, time-boxed exception approved by</w:t>
      </w:r>
      <w:r>
        <w:t xml:space="preserve"> </w:t>
      </w:r>
      <w:r>
        <w:t xml:space="preserve">the Head of IT and reviewed by the CISO, with a compensating control and an</w:t>
      </w:r>
      <w:r>
        <w:t xml:space="preserve"> </w:t>
      </w:r>
      <w:r>
        <w:t xml:space="preserve">expiry date.</w:t>
      </w:r>
    </w:p>
    <w:p>
      <w:pPr>
        <w:pStyle w:val="Compact"/>
        <w:numPr>
          <w:ilvl w:val="0"/>
          <w:numId w:val="1005"/>
        </w:numPr>
      </w:pPr>
      <w:r>
        <w:t xml:space="preserve">Legacy line-of-business applications that cannot run under the hardened</w:t>
      </w:r>
      <w:r>
        <w:t xml:space="preserve"> </w:t>
      </w:r>
      <w:r>
        <w:t xml:space="preserve">baseline are recorded as standing exceptions with a remediation or replacement</w:t>
      </w:r>
      <w:r>
        <w:t xml:space="preserve"> </w:t>
      </w:r>
      <w:r>
        <w:t xml:space="preserve">plan.</w:t>
      </w:r>
    </w:p>
    <w:p>
      <w:pPr>
        <w:pStyle w:val="BlockText"/>
      </w:pPr>
      <w:r>
        <w:rPr>
          <w:i/>
          <w:iCs/>
        </w:rPr>
        <w:t xml:space="preserve">[Reviewer, 2025-03-27: the hardened baseline in §3.1–§3.3 is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documented but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never evidenced as enforced</w:t>
      </w:r>
      <w:r>
        <w:rPr>
          <w:i/>
          <w:iCs/>
        </w:rPr>
        <w:t xml:space="preserve">. There is no configuration-compliance report</w:t>
      </w:r>
      <w:r>
        <w:rPr>
          <w:i/>
          <w:iCs/>
        </w:rPr>
        <w:t xml:space="preserve"> </w:t>
      </w:r>
      <w:r>
        <w:rPr>
          <w:i/>
          <w:iCs/>
        </w:rPr>
        <w:t xml:space="preserve">showing that live endpoints actually match the SOE — so we cannot demonstrate</w:t>
      </w:r>
      <w:r>
        <w:rPr>
          <w:i/>
          <w:iCs/>
        </w:rPr>
        <w:t xml:space="preserve"> </w:t>
      </w:r>
      <w:r>
        <w:rPr>
          <w:i/>
          <w:iCs/>
        </w:rPr>
        <w:t xml:space="preserve">the control is operating, only that it is written down. This is the same</w:t>
      </w:r>
      <w:r>
        <w:rPr>
          <w:i/>
          <w:iCs/>
        </w:rPr>
        <w:t xml:space="preserve"> </w:t>
      </w:r>
      <w:r>
        <w:rPr>
          <w:i/>
          <w:iCs/>
        </w:rPr>
        <w:t xml:space="preserve">evidencing gap as SEC-STD-011; a single compliance-reporting mechanism should</w:t>
      </w:r>
      <w:r>
        <w:rPr>
          <w:i/>
          <w:iCs/>
        </w:rPr>
        <w:t xml:space="preserve"> </w:t>
      </w:r>
      <w:r>
        <w:rPr>
          <w:i/>
          <w:iCs/>
        </w:rPr>
        <w:t xml:space="preserve">cover both. Open action for the SOE function ahead of Stage 1.]</w:t>
      </w:r>
    </w:p>
    <w:p>
      <w:pPr>
        <w:pStyle w:val="BlockText"/>
      </w:pPr>
      <w:r>
        <w:rPr>
          <w:i/>
          <w:iCs/>
        </w:rPr>
        <w:t xml:space="preserve">[Reviewer, 2025-03-27: two carve-outs weaken the baseline in practice —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browser extensions are permitted by exception</w:t>
      </w:r>
      <w:r>
        <w:rPr>
          <w:i/>
          <w:iCs/>
        </w:rPr>
        <w:t xml:space="preserve"> </w:t>
      </w:r>
      <w:r>
        <w:rPr>
          <w:i/>
          <w:iCs/>
        </w:rPr>
        <w:t xml:space="preserve">(with no central allow-list</w:t>
      </w:r>
      <w:r>
        <w:rPr>
          <w:i/>
          <w:iCs/>
        </w:rPr>
        <w:t xml:space="preserve"> </w:t>
      </w:r>
      <w:r>
        <w:rPr>
          <w:i/>
          <w:iCs/>
        </w:rPr>
        <w:t xml:space="preserve">evidenced), and several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legacy line-of-business apps require carve-outs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concentrated on the Malaga legacy footprint which is harder to bring under the</w:t>
      </w:r>
      <w:r>
        <w:rPr>
          <w:i/>
          <w:iCs/>
        </w:rPr>
        <w:t xml:space="preserve"> </w:t>
      </w:r>
      <w:r>
        <w:rPr>
          <w:i/>
          <w:iCs/>
        </w:rPr>
        <w:t xml:space="preserve">managed SOE. Neither carries a firm remediation date. Reconcile with the</w:t>
      </w:r>
      <w:r>
        <w:rPr>
          <w:i/>
          <w:iCs/>
        </w:rPr>
        <w:t xml:space="preserve"> </w:t>
      </w:r>
      <w:r>
        <w:rPr>
          <w:i/>
          <w:iCs/>
        </w:rPr>
        <w:t xml:space="preserve">patch/vulnerability position (POL-ITMA-031) and the risk register.]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Document status: v1.0, issued 28-03-2025.</w:t>
      </w:r>
      <w:r>
        <w:t xml:space="preserve"> </w:t>
      </w:r>
      <w:r>
        <w:t xml:space="preserve">Next scheduled review: 28-03-2026.</w:t>
      </w:r>
      <w:r>
        <w:t xml:space="preserve"> </w:t>
      </w:r>
      <w:r>
        <w:t xml:space="preserve">Questions about this standard go to</w:t>
      </w:r>
      <w:r>
        <w:t xml:space="preserve"> </w:t>
      </w:r>
      <w:r>
        <w:rPr>
          <w:rStyle w:val="VerbatimChar"/>
        </w:rPr>
        <w:t xml:space="preserve">itsupport@tessera.locoensayo.org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Application Hardening Standard</dc:title>
  <dc:creator/>
  <dc:description>Defines the mandatory hardening baseline for user applications and the standard operating environment on Tessera-managed endpoints, in line with APP 11 of the Privacy Act 1988 (Cth) and ISO/IEC 27001:2022 Annex A control A.8.9, and mapping to the ACSC Essential Eight “User application hardening” mitigation strategy.</dc:description>
  <cp:keywords/>
  <dcterms:created xsi:type="dcterms:W3CDTF">2026-08-17T05:18:03Z</dcterms:created>
  <dcterms:modified xsi:type="dcterms:W3CDTF">2026-08-17T05:18:03Z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categories">
    <vt:lpwstr/>
  </property>
  <property fmtid="{D5CDD505-2E9C-101B-9397-08002B2CF9AE}" pid="4" name="engines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resources">
    <vt:lpwstr/>
  </property>
  <property fmtid="{D5CDD505-2E9C-101B-9397-08002B2CF9AE}" pid="10" name="toc-title">
    <vt:lpwstr>Table of contents</vt:lpwstr>
  </property>
</Properties>
</file>